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3C63" w14:textId="799ECB3E" w:rsidR="00C14622" w:rsidRDefault="005447ED" w:rsidP="00F813F2">
      <w:pPr>
        <w:pStyle w:val="NoSpacing"/>
        <w:jc w:val="center"/>
        <w:rPr>
          <w:rFonts w:ascii="Arial" w:hAnsi="Arial" w:cs="Arial"/>
          <w:b/>
          <w:bCs/>
        </w:rPr>
      </w:pPr>
      <w:r w:rsidRPr="005447ED">
        <w:rPr>
          <w:rFonts w:ascii="Arial" w:hAnsi="Arial" w:cs="Arial"/>
          <w:b/>
          <w:bCs/>
          <w:noProof/>
        </w:rPr>
        <w:drawing>
          <wp:inline distT="0" distB="0" distL="0" distR="0" wp14:anchorId="5BE7FCD6" wp14:editId="6F364571">
            <wp:extent cx="5731510" cy="959485"/>
            <wp:effectExtent l="0" t="0" r="2540" b="0"/>
            <wp:docPr id="2009493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93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9FC8" w14:textId="77777777" w:rsidR="005447ED" w:rsidRDefault="005447ED" w:rsidP="00F813F2">
      <w:pPr>
        <w:pStyle w:val="NoSpacing"/>
        <w:jc w:val="center"/>
        <w:rPr>
          <w:rFonts w:ascii="Arial" w:hAnsi="Arial" w:cs="Arial"/>
          <w:b/>
          <w:bCs/>
        </w:rPr>
      </w:pPr>
    </w:p>
    <w:p w14:paraId="3C7D963A" w14:textId="25BE7388" w:rsidR="00F813F2" w:rsidRDefault="00F813F2" w:rsidP="00F813F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OF MEMBERSHIP </w:t>
      </w:r>
      <w:r w:rsidR="00FC14BD">
        <w:rPr>
          <w:rFonts w:ascii="Arial" w:hAnsi="Arial" w:cs="Arial"/>
          <w:b/>
          <w:bCs/>
        </w:rPr>
        <w:t>CATEGORIES</w:t>
      </w:r>
    </w:p>
    <w:p w14:paraId="6D2975C6" w14:textId="77777777" w:rsidR="00FC14BD" w:rsidRDefault="00FC14BD" w:rsidP="00F813F2">
      <w:pPr>
        <w:pStyle w:val="NoSpacing"/>
        <w:jc w:val="center"/>
        <w:rPr>
          <w:rFonts w:ascii="Arial" w:hAnsi="Arial" w:cs="Arial"/>
          <w:b/>
          <w:bCs/>
        </w:rPr>
      </w:pPr>
    </w:p>
    <w:p w14:paraId="2725061C" w14:textId="3A672EC2" w:rsidR="007144D5" w:rsidRPr="00FC14BD" w:rsidRDefault="007144D5" w:rsidP="00F813F2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FC14BD">
        <w:rPr>
          <w:rFonts w:ascii="Arial" w:hAnsi="Arial" w:cs="Arial"/>
          <w:b/>
          <w:bCs/>
          <w:u w:val="single"/>
        </w:rPr>
        <w:t>1 April 2026 – 31 March 2027</w:t>
      </w:r>
    </w:p>
    <w:p w14:paraId="4E866FA1" w14:textId="77777777" w:rsidR="00444C99" w:rsidRDefault="00444C99" w:rsidP="00F813F2">
      <w:pPr>
        <w:pStyle w:val="NoSpacing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144D5" w14:paraId="219566F5" w14:textId="77777777" w:rsidTr="007144D5">
        <w:tc>
          <w:tcPr>
            <w:tcW w:w="3485" w:type="dxa"/>
          </w:tcPr>
          <w:p w14:paraId="67C6CC68" w14:textId="2F8015DC" w:rsidR="007144D5" w:rsidRDefault="00FC14BD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Membership category</w:t>
            </w:r>
          </w:p>
        </w:tc>
        <w:tc>
          <w:tcPr>
            <w:tcW w:w="3485" w:type="dxa"/>
          </w:tcPr>
          <w:p w14:paraId="509C95BC" w14:textId="4B584324" w:rsidR="007144D5" w:rsidRDefault="00EB1A3A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UK/Northern Ireland/Isle of Man/Wales/Scotland</w:t>
            </w:r>
          </w:p>
        </w:tc>
        <w:tc>
          <w:tcPr>
            <w:tcW w:w="3486" w:type="dxa"/>
          </w:tcPr>
          <w:p w14:paraId="222932FA" w14:textId="19A15E66" w:rsidR="007144D5" w:rsidRDefault="00EB1A3A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Republic of Ireland</w:t>
            </w:r>
          </w:p>
        </w:tc>
      </w:tr>
      <w:tr w:rsidR="007144D5" w14:paraId="621FEF5D" w14:textId="77777777" w:rsidTr="007144D5">
        <w:tc>
          <w:tcPr>
            <w:tcW w:w="3485" w:type="dxa"/>
          </w:tcPr>
          <w:p w14:paraId="7B9B7913" w14:textId="3976B047" w:rsidR="007144D5" w:rsidRDefault="00333ED1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member (Group A)</w:t>
            </w:r>
          </w:p>
        </w:tc>
        <w:tc>
          <w:tcPr>
            <w:tcW w:w="3485" w:type="dxa"/>
          </w:tcPr>
          <w:p w14:paraId="1680D753" w14:textId="5C6CB08B" w:rsidR="007144D5" w:rsidRPr="007A418B" w:rsidRDefault="00333ED1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7A418B">
              <w:rPr>
                <w:rFonts w:ascii="Arial" w:hAnsi="Arial" w:cs="Arial"/>
              </w:rPr>
              <w:t>£295.00</w:t>
            </w:r>
          </w:p>
        </w:tc>
        <w:tc>
          <w:tcPr>
            <w:tcW w:w="3486" w:type="dxa"/>
          </w:tcPr>
          <w:p w14:paraId="67D143B9" w14:textId="503D1169" w:rsidR="007144D5" w:rsidRPr="007A418B" w:rsidRDefault="00EB1A3A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7A418B">
              <w:rPr>
                <w:rFonts w:ascii="Arial" w:hAnsi="Arial" w:cs="Arial"/>
              </w:rPr>
              <w:t>£</w:t>
            </w:r>
            <w:r w:rsidR="00F545C6" w:rsidRPr="007A418B">
              <w:rPr>
                <w:rFonts w:ascii="Arial" w:hAnsi="Arial" w:cs="Arial"/>
              </w:rPr>
              <w:t>320.00</w:t>
            </w:r>
          </w:p>
        </w:tc>
      </w:tr>
      <w:tr w:rsidR="007144D5" w14:paraId="51A8F1B1" w14:textId="77777777" w:rsidTr="007144D5">
        <w:tc>
          <w:tcPr>
            <w:tcW w:w="3485" w:type="dxa"/>
          </w:tcPr>
          <w:p w14:paraId="7E2EB6D8" w14:textId="6C9384A9" w:rsidR="007144D5" w:rsidRDefault="00333ED1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member (Group B)</w:t>
            </w:r>
          </w:p>
        </w:tc>
        <w:tc>
          <w:tcPr>
            <w:tcW w:w="3485" w:type="dxa"/>
          </w:tcPr>
          <w:p w14:paraId="61298A88" w14:textId="115AC068" w:rsidR="007144D5" w:rsidRPr="007A418B" w:rsidRDefault="00F545C6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7A418B">
              <w:rPr>
                <w:rFonts w:ascii="Arial" w:hAnsi="Arial" w:cs="Arial"/>
              </w:rPr>
              <w:t>£175.00</w:t>
            </w:r>
          </w:p>
        </w:tc>
        <w:tc>
          <w:tcPr>
            <w:tcW w:w="3486" w:type="dxa"/>
          </w:tcPr>
          <w:p w14:paraId="11B46C3C" w14:textId="596FBC2C" w:rsidR="007144D5" w:rsidRPr="007A418B" w:rsidRDefault="00F545C6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7A418B">
              <w:rPr>
                <w:rFonts w:ascii="Arial" w:hAnsi="Arial" w:cs="Arial"/>
              </w:rPr>
              <w:t>£200.00</w:t>
            </w:r>
          </w:p>
        </w:tc>
      </w:tr>
      <w:tr w:rsidR="007144D5" w14:paraId="2586D1B2" w14:textId="77777777" w:rsidTr="007144D5">
        <w:tc>
          <w:tcPr>
            <w:tcW w:w="3485" w:type="dxa"/>
          </w:tcPr>
          <w:p w14:paraId="594D0078" w14:textId="43165117" w:rsidR="007144D5" w:rsidRDefault="00F64AE9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Associate member</w:t>
            </w:r>
          </w:p>
        </w:tc>
        <w:tc>
          <w:tcPr>
            <w:tcW w:w="3485" w:type="dxa"/>
          </w:tcPr>
          <w:p w14:paraId="7A17EE61" w14:textId="42BADF34" w:rsidR="007144D5" w:rsidRPr="001A076B" w:rsidRDefault="001A076B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1A076B">
              <w:rPr>
                <w:rFonts w:ascii="Arial" w:hAnsi="Arial" w:cs="Arial"/>
              </w:rPr>
              <w:t>£75.00</w:t>
            </w:r>
          </w:p>
        </w:tc>
        <w:tc>
          <w:tcPr>
            <w:tcW w:w="3486" w:type="dxa"/>
          </w:tcPr>
          <w:p w14:paraId="032109EF" w14:textId="6DF13CB0" w:rsidR="007144D5" w:rsidRPr="00FC59FA" w:rsidRDefault="00081CA5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FC59FA">
              <w:rPr>
                <w:rFonts w:ascii="Arial" w:hAnsi="Arial" w:cs="Arial"/>
              </w:rPr>
              <w:t>£75.00</w:t>
            </w:r>
          </w:p>
        </w:tc>
      </w:tr>
      <w:tr w:rsidR="007144D5" w14:paraId="2B4BD753" w14:textId="77777777" w:rsidTr="007144D5">
        <w:tc>
          <w:tcPr>
            <w:tcW w:w="3485" w:type="dxa"/>
          </w:tcPr>
          <w:p w14:paraId="4027522A" w14:textId="0EA02C2F" w:rsidR="007144D5" w:rsidRDefault="00F0355E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Seen and Heard </w:t>
            </w:r>
          </w:p>
        </w:tc>
        <w:tc>
          <w:tcPr>
            <w:tcW w:w="3485" w:type="dxa"/>
          </w:tcPr>
          <w:p w14:paraId="3F87DE17" w14:textId="68E265D4" w:rsidR="007144D5" w:rsidRPr="00F0355E" w:rsidRDefault="00F0355E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F0355E">
              <w:rPr>
                <w:rFonts w:ascii="Arial" w:hAnsi="Arial" w:cs="Arial"/>
              </w:rPr>
              <w:t>£</w:t>
            </w:r>
            <w:r w:rsidR="00862FDE">
              <w:rPr>
                <w:rFonts w:ascii="Arial" w:hAnsi="Arial" w:cs="Arial"/>
              </w:rPr>
              <w:t>45</w:t>
            </w:r>
            <w:r w:rsidRPr="00F0355E">
              <w:rPr>
                <w:rFonts w:ascii="Arial" w:hAnsi="Arial" w:cs="Arial"/>
              </w:rPr>
              <w:t>.00</w:t>
            </w:r>
          </w:p>
        </w:tc>
        <w:tc>
          <w:tcPr>
            <w:tcW w:w="3486" w:type="dxa"/>
          </w:tcPr>
          <w:p w14:paraId="5A5FE11C" w14:textId="0132F5BE" w:rsidR="007144D5" w:rsidRPr="00FC59FA" w:rsidRDefault="00081CA5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FC59FA">
              <w:rPr>
                <w:rFonts w:ascii="Arial" w:hAnsi="Arial" w:cs="Arial"/>
              </w:rPr>
              <w:t>£</w:t>
            </w:r>
            <w:r w:rsidR="00862FDE">
              <w:rPr>
                <w:rFonts w:ascii="Arial" w:hAnsi="Arial" w:cs="Arial"/>
              </w:rPr>
              <w:t>45</w:t>
            </w:r>
            <w:r w:rsidRPr="00FC59FA">
              <w:rPr>
                <w:rFonts w:ascii="Arial" w:hAnsi="Arial" w:cs="Arial"/>
              </w:rPr>
              <w:t>.00</w:t>
            </w:r>
          </w:p>
        </w:tc>
      </w:tr>
      <w:tr w:rsidR="00F0355E" w14:paraId="27BD06FD" w14:textId="77777777" w:rsidTr="007144D5">
        <w:tc>
          <w:tcPr>
            <w:tcW w:w="3485" w:type="dxa"/>
          </w:tcPr>
          <w:p w14:paraId="2B021832" w14:textId="43933060" w:rsidR="00F0355E" w:rsidRDefault="00F0355E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Retired member</w:t>
            </w:r>
          </w:p>
        </w:tc>
        <w:tc>
          <w:tcPr>
            <w:tcW w:w="3485" w:type="dxa"/>
          </w:tcPr>
          <w:p w14:paraId="0A66EEE3" w14:textId="0A62D504" w:rsidR="00F0355E" w:rsidRPr="00F0355E" w:rsidRDefault="0024215F" w:rsidP="00F813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£45.00</w:t>
            </w:r>
          </w:p>
        </w:tc>
        <w:tc>
          <w:tcPr>
            <w:tcW w:w="3486" w:type="dxa"/>
          </w:tcPr>
          <w:p w14:paraId="29E74133" w14:textId="319CE285" w:rsidR="00F0355E" w:rsidRPr="00FC59FA" w:rsidRDefault="00081CA5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FC59FA">
              <w:rPr>
                <w:rFonts w:ascii="Arial" w:hAnsi="Arial" w:cs="Arial"/>
              </w:rPr>
              <w:t>£45.00</w:t>
            </w:r>
          </w:p>
        </w:tc>
      </w:tr>
      <w:tr w:rsidR="0024215F" w14:paraId="2FBBCC2B" w14:textId="77777777" w:rsidTr="007144D5">
        <w:tc>
          <w:tcPr>
            <w:tcW w:w="3485" w:type="dxa"/>
          </w:tcPr>
          <w:p w14:paraId="25663025" w14:textId="0ED88315" w:rsidR="0024215F" w:rsidRDefault="0024215F" w:rsidP="00F813F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</w:t>
            </w:r>
          </w:p>
        </w:tc>
        <w:tc>
          <w:tcPr>
            <w:tcW w:w="3485" w:type="dxa"/>
          </w:tcPr>
          <w:p w14:paraId="5C51CFF6" w14:textId="6417B8E6" w:rsidR="0024215F" w:rsidRDefault="0024215F" w:rsidP="00F813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 (or £32.00)</w:t>
            </w:r>
          </w:p>
        </w:tc>
        <w:tc>
          <w:tcPr>
            <w:tcW w:w="3486" w:type="dxa"/>
          </w:tcPr>
          <w:p w14:paraId="49A3E603" w14:textId="34B2D1C0" w:rsidR="0024215F" w:rsidRPr="00FC59FA" w:rsidRDefault="00081CA5" w:rsidP="00F813F2">
            <w:pPr>
              <w:pStyle w:val="NoSpacing"/>
              <w:jc w:val="center"/>
              <w:rPr>
                <w:rFonts w:ascii="Arial" w:hAnsi="Arial" w:cs="Arial"/>
              </w:rPr>
            </w:pPr>
            <w:r w:rsidRPr="00FC59FA">
              <w:rPr>
                <w:rFonts w:ascii="Arial" w:hAnsi="Arial" w:cs="Arial"/>
              </w:rPr>
              <w:t>£25.00 (or £32.00)</w:t>
            </w:r>
          </w:p>
        </w:tc>
      </w:tr>
    </w:tbl>
    <w:p w14:paraId="096970BA" w14:textId="77777777" w:rsidR="007144D5" w:rsidRDefault="007144D5" w:rsidP="00F813F2">
      <w:pPr>
        <w:pStyle w:val="NoSpacing"/>
        <w:jc w:val="center"/>
        <w:rPr>
          <w:rFonts w:ascii="Arial" w:hAnsi="Arial" w:cs="Arial"/>
          <w:b/>
          <w:bCs/>
        </w:rPr>
      </w:pPr>
    </w:p>
    <w:p w14:paraId="499E3A76" w14:textId="77777777" w:rsidR="007144D5" w:rsidRDefault="007144D5" w:rsidP="00F813F2">
      <w:pPr>
        <w:pStyle w:val="NoSpacing"/>
        <w:jc w:val="center"/>
        <w:rPr>
          <w:rFonts w:ascii="Arial" w:hAnsi="Arial" w:cs="Arial"/>
          <w:b/>
          <w:bCs/>
        </w:rPr>
      </w:pPr>
    </w:p>
    <w:p w14:paraId="0607729A" w14:textId="756F7FF1" w:rsidR="00F813F2" w:rsidRDefault="00F813F2" w:rsidP="00F813F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Members (</w:t>
      </w:r>
      <w:r w:rsidR="00F8747F">
        <w:rPr>
          <w:rFonts w:ascii="Arial" w:hAnsi="Arial" w:cs="Arial"/>
          <w:b/>
          <w:bCs/>
        </w:rPr>
        <w:t>Group A</w:t>
      </w:r>
      <w:r>
        <w:rPr>
          <w:rFonts w:ascii="Arial" w:hAnsi="Arial" w:cs="Arial"/>
          <w:b/>
          <w:bCs/>
        </w:rPr>
        <w:t>):</w:t>
      </w:r>
      <w:r w:rsidR="000A7F16">
        <w:rPr>
          <w:rFonts w:ascii="Arial" w:hAnsi="Arial" w:cs="Arial"/>
          <w:b/>
          <w:bCs/>
        </w:rPr>
        <w:t xml:space="preserve">  </w:t>
      </w:r>
      <w:r w:rsidR="000A7F16" w:rsidRPr="000A7F16">
        <w:rPr>
          <w:rFonts w:ascii="Arial" w:hAnsi="Arial" w:cs="Arial"/>
          <w:b/>
          <w:bCs/>
          <w:color w:val="EE0000"/>
        </w:rPr>
        <w:t>£29</w:t>
      </w:r>
      <w:r w:rsidR="00773ADA">
        <w:rPr>
          <w:rFonts w:ascii="Arial" w:hAnsi="Arial" w:cs="Arial"/>
          <w:b/>
          <w:bCs/>
          <w:color w:val="EE0000"/>
        </w:rPr>
        <w:t>5.00</w:t>
      </w:r>
    </w:p>
    <w:p w14:paraId="06B61B01" w14:textId="5E96282A" w:rsidR="00F813F2" w:rsidRDefault="002551B6" w:rsidP="002551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551B6">
        <w:rPr>
          <w:rFonts w:ascii="Arial" w:hAnsi="Arial" w:cs="Arial"/>
          <w:b/>
          <w:bCs/>
        </w:rPr>
        <w:t>Must be</w:t>
      </w:r>
      <w:r>
        <w:rPr>
          <w:rFonts w:ascii="Arial" w:hAnsi="Arial" w:cs="Arial"/>
        </w:rPr>
        <w:t xml:space="preserve"> a registered social worker in UK, the Isle of Man, the Channel Islands or the Irish Republic and whose professional practice includes a significant proportion of work with children and families.</w:t>
      </w:r>
    </w:p>
    <w:p w14:paraId="405DA4D7" w14:textId="75E40F1A" w:rsidR="002551B6" w:rsidRPr="002551B6" w:rsidRDefault="002551B6" w:rsidP="002551B6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2551B6">
        <w:rPr>
          <w:rFonts w:ascii="Arial" w:hAnsi="Arial" w:cs="Arial"/>
          <w:b/>
          <w:bCs/>
        </w:rPr>
        <w:t>Benefits:</w:t>
      </w:r>
    </w:p>
    <w:p w14:paraId="07B067DD" w14:textId="62BF3FFA" w:rsidR="002551B6" w:rsidRDefault="0088320D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Professional indemnity and public liability i</w:t>
      </w:r>
      <w:r w:rsidR="002551B6" w:rsidRPr="002551B6">
        <w:rPr>
          <w:rFonts w:ascii="Arial" w:hAnsi="Arial" w:cs="Arial"/>
        </w:rPr>
        <w:t>nsurance</w:t>
      </w:r>
      <w:r w:rsidR="002551B6">
        <w:rPr>
          <w:rFonts w:ascii="Arial" w:hAnsi="Arial" w:cs="Arial"/>
        </w:rPr>
        <w:t>;</w:t>
      </w:r>
    </w:p>
    <w:p w14:paraId="76F065F4" w14:textId="6BEDCDBC" w:rsidR="002E4AF8" w:rsidRPr="0021158D" w:rsidRDefault="00911E6B" w:rsidP="0021158D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and </w:t>
      </w:r>
      <w:r w:rsidR="009E602E">
        <w:rPr>
          <w:rFonts w:ascii="Arial" w:hAnsi="Arial" w:cs="Arial"/>
        </w:rPr>
        <w:t xml:space="preserve">help with legal representation in the event of </w:t>
      </w:r>
      <w:r w:rsidR="00D33BE5">
        <w:rPr>
          <w:rFonts w:ascii="Arial" w:hAnsi="Arial" w:cs="Arial"/>
        </w:rPr>
        <w:t>fitness to practice proceedings;</w:t>
      </w:r>
    </w:p>
    <w:p w14:paraId="141A20FB" w14:textId="23119322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Voting at General Meetings of Nagalro;</w:t>
      </w:r>
    </w:p>
    <w:p w14:paraId="46B6828E" w14:textId="7343FD9F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Eligible to be a member of Council;</w:t>
      </w:r>
    </w:p>
    <w:p w14:paraId="61D8DB07" w14:textId="1F78831C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Preferential rates for professional training;</w:t>
      </w:r>
    </w:p>
    <w:p w14:paraId="5D8E5E9F" w14:textId="55142065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Quarterly copies of </w:t>
      </w:r>
      <w:r>
        <w:rPr>
          <w:rFonts w:ascii="Arial" w:hAnsi="Arial" w:cs="Arial"/>
          <w:i/>
          <w:iCs/>
        </w:rPr>
        <w:t>Seen and Heard</w:t>
      </w:r>
      <w:r>
        <w:rPr>
          <w:rFonts w:ascii="Arial" w:hAnsi="Arial" w:cs="Arial"/>
        </w:rPr>
        <w:t>;</w:t>
      </w:r>
    </w:p>
    <w:p w14:paraId="269F025F" w14:textId="638B4504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A418B">
        <w:rPr>
          <w:rFonts w:ascii="Arial" w:hAnsi="Arial" w:cs="Arial"/>
        </w:rPr>
        <w:t xml:space="preserve">agalro </w:t>
      </w:r>
      <w:r>
        <w:rPr>
          <w:rFonts w:ascii="Arial" w:hAnsi="Arial" w:cs="Arial"/>
        </w:rPr>
        <w:t>G</w:t>
      </w:r>
      <w:r w:rsidR="007A418B">
        <w:rPr>
          <w:rFonts w:ascii="Arial" w:hAnsi="Arial" w:cs="Arial"/>
        </w:rPr>
        <w:t xml:space="preserve">oogle </w:t>
      </w:r>
      <w:r>
        <w:rPr>
          <w:rFonts w:ascii="Arial" w:hAnsi="Arial" w:cs="Arial"/>
        </w:rPr>
        <w:t>G</w:t>
      </w:r>
      <w:r w:rsidR="007A418B">
        <w:rPr>
          <w:rFonts w:ascii="Arial" w:hAnsi="Arial" w:cs="Arial"/>
        </w:rPr>
        <w:t>roup</w:t>
      </w:r>
      <w:r>
        <w:rPr>
          <w:rFonts w:ascii="Arial" w:hAnsi="Arial" w:cs="Arial"/>
        </w:rPr>
        <w:t>;</w:t>
      </w:r>
    </w:p>
    <w:p w14:paraId="07269AC0" w14:textId="6FCF1EE6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Support for professional practice issues;</w:t>
      </w:r>
    </w:p>
    <w:p w14:paraId="1BCF67C9" w14:textId="5B7B0989" w:rsidR="002551B6" w:rsidRDefault="002551B6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Nagalro practice guidance notes</w:t>
      </w:r>
      <w:r w:rsidR="00652653">
        <w:rPr>
          <w:rFonts w:ascii="Arial" w:hAnsi="Arial" w:cs="Arial"/>
        </w:rPr>
        <w:t>;</w:t>
      </w:r>
    </w:p>
    <w:p w14:paraId="4E7B9738" w14:textId="54E1CFFD" w:rsidR="00652653" w:rsidRDefault="00652653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Easy access to professional information within the ‘members only’ section of the Nagalro website</w:t>
      </w:r>
      <w:r w:rsidR="00DC54EA">
        <w:rPr>
          <w:rFonts w:ascii="Arial" w:hAnsi="Arial" w:cs="Arial"/>
        </w:rPr>
        <w:t>;</w:t>
      </w:r>
    </w:p>
    <w:p w14:paraId="09BCD579" w14:textId="5DE24BF4" w:rsidR="00393589" w:rsidRDefault="00393589" w:rsidP="002551B6">
      <w:pPr>
        <w:pStyle w:val="NoSpacing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Eligible to join the Nagalro Directory (subject to payment of annual fee)</w:t>
      </w:r>
    </w:p>
    <w:p w14:paraId="1B584D79" w14:textId="77777777" w:rsidR="002551B6" w:rsidRDefault="002551B6" w:rsidP="002551B6">
      <w:pPr>
        <w:pStyle w:val="NoSpacing"/>
        <w:rPr>
          <w:rFonts w:ascii="Arial" w:hAnsi="Arial" w:cs="Arial"/>
        </w:rPr>
      </w:pPr>
    </w:p>
    <w:p w14:paraId="08D829F9" w14:textId="77777777" w:rsidR="00136A92" w:rsidRDefault="00136A92" w:rsidP="002551B6">
      <w:pPr>
        <w:pStyle w:val="NoSpacing"/>
        <w:rPr>
          <w:rFonts w:ascii="Arial" w:hAnsi="Arial" w:cs="Arial"/>
          <w:b/>
          <w:bCs/>
        </w:rPr>
      </w:pPr>
    </w:p>
    <w:p w14:paraId="1AD4FA17" w14:textId="77777777" w:rsidR="007A418B" w:rsidRDefault="002551B6" w:rsidP="002551B6">
      <w:pPr>
        <w:pStyle w:val="NoSpacing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</w:rPr>
        <w:t>Full Members (</w:t>
      </w:r>
      <w:r w:rsidR="00F8747F">
        <w:rPr>
          <w:rFonts w:ascii="Arial" w:hAnsi="Arial" w:cs="Arial"/>
          <w:b/>
          <w:bCs/>
        </w:rPr>
        <w:t>Group B</w:t>
      </w:r>
      <w:r>
        <w:rPr>
          <w:rFonts w:ascii="Arial" w:hAnsi="Arial" w:cs="Arial"/>
          <w:b/>
          <w:bCs/>
        </w:rPr>
        <w:t>)</w:t>
      </w:r>
      <w:r w:rsidR="000A7F16">
        <w:rPr>
          <w:rFonts w:ascii="Arial" w:hAnsi="Arial" w:cs="Arial"/>
          <w:b/>
          <w:bCs/>
        </w:rPr>
        <w:t xml:space="preserve"> – non-insured*:  </w:t>
      </w:r>
      <w:r w:rsidR="000A7F16" w:rsidRPr="000A7F16">
        <w:rPr>
          <w:rFonts w:ascii="Arial" w:hAnsi="Arial" w:cs="Arial"/>
          <w:b/>
          <w:bCs/>
          <w:color w:val="EE0000"/>
        </w:rPr>
        <w:t>£175</w:t>
      </w:r>
      <w:r w:rsidR="00F545C6">
        <w:rPr>
          <w:rFonts w:ascii="Arial" w:hAnsi="Arial" w:cs="Arial"/>
          <w:b/>
          <w:bCs/>
          <w:color w:val="EE0000"/>
        </w:rPr>
        <w:t>.00</w:t>
      </w:r>
    </w:p>
    <w:p w14:paraId="27F66926" w14:textId="583F98C7" w:rsidR="002551B6" w:rsidRDefault="000A7F16" w:rsidP="002551B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14:paraId="7273C48A" w14:textId="7A6C7398" w:rsidR="002551B6" w:rsidRDefault="002551B6" w:rsidP="002551B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8C4233">
        <w:rPr>
          <w:rFonts w:ascii="Arial" w:hAnsi="Arial" w:cs="Arial"/>
          <w:b/>
          <w:bCs/>
        </w:rPr>
        <w:t>Must be</w:t>
      </w:r>
      <w:r>
        <w:rPr>
          <w:rFonts w:ascii="Arial" w:hAnsi="Arial" w:cs="Arial"/>
        </w:rPr>
        <w:t xml:space="preserve"> a re</w:t>
      </w:r>
      <w:r w:rsidR="000A7F16">
        <w:rPr>
          <w:rFonts w:ascii="Arial" w:hAnsi="Arial" w:cs="Arial"/>
        </w:rPr>
        <w:t>g</w:t>
      </w:r>
      <w:r>
        <w:rPr>
          <w:rFonts w:ascii="Arial" w:hAnsi="Arial" w:cs="Arial"/>
        </w:rPr>
        <w:t>istered social worker in UK, the Isle of Man, the Channel Islands or the Irish Republic</w:t>
      </w:r>
      <w:r w:rsidR="00583CA3">
        <w:rPr>
          <w:rFonts w:ascii="Arial" w:hAnsi="Arial" w:cs="Arial"/>
        </w:rPr>
        <w:t xml:space="preserve"> but do not require insurance as employed by another bodies, such as, Local Authorities </w:t>
      </w:r>
      <w:r w:rsidR="00BD2CA6">
        <w:rPr>
          <w:rFonts w:ascii="Arial" w:hAnsi="Arial" w:cs="Arial"/>
        </w:rPr>
        <w:t xml:space="preserve">or </w:t>
      </w:r>
      <w:r w:rsidR="00583CA3">
        <w:rPr>
          <w:rFonts w:ascii="Arial" w:hAnsi="Arial" w:cs="Arial"/>
        </w:rPr>
        <w:t xml:space="preserve">Cafcass who already </w:t>
      </w:r>
      <w:r w:rsidR="00817F96">
        <w:rPr>
          <w:rFonts w:ascii="Arial" w:hAnsi="Arial" w:cs="Arial"/>
        </w:rPr>
        <w:t xml:space="preserve">provide </w:t>
      </w:r>
      <w:r w:rsidR="00792553">
        <w:rPr>
          <w:rFonts w:ascii="Arial" w:hAnsi="Arial" w:cs="Arial"/>
        </w:rPr>
        <w:t>cover to their employed workforce.</w:t>
      </w:r>
    </w:p>
    <w:p w14:paraId="5A21F170" w14:textId="28EC0916" w:rsidR="008C4233" w:rsidRDefault="008C4233" w:rsidP="002551B6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</w:p>
    <w:p w14:paraId="3C1D2A12" w14:textId="77777777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Voting at General Meetings of Nagalro;</w:t>
      </w:r>
    </w:p>
    <w:p w14:paraId="45E3C769" w14:textId="77777777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Eligible to be a member of Council;</w:t>
      </w:r>
    </w:p>
    <w:p w14:paraId="4E65DCF0" w14:textId="77777777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Preferential rates for professional training;</w:t>
      </w:r>
    </w:p>
    <w:p w14:paraId="34D9BC34" w14:textId="77777777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Quarterly copies of </w:t>
      </w:r>
      <w:r>
        <w:rPr>
          <w:rFonts w:ascii="Arial" w:hAnsi="Arial" w:cs="Arial"/>
          <w:i/>
          <w:iCs/>
        </w:rPr>
        <w:t>Seen and Heard</w:t>
      </w:r>
      <w:r>
        <w:rPr>
          <w:rFonts w:ascii="Arial" w:hAnsi="Arial" w:cs="Arial"/>
        </w:rPr>
        <w:t>;</w:t>
      </w:r>
    </w:p>
    <w:p w14:paraId="2015E8A4" w14:textId="5455C012" w:rsidR="008C4233" w:rsidRDefault="007A418B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Nagalro Google Group</w:t>
      </w:r>
      <w:r w:rsidR="008C4233">
        <w:rPr>
          <w:rFonts w:ascii="Arial" w:hAnsi="Arial" w:cs="Arial"/>
        </w:rPr>
        <w:t>;</w:t>
      </w:r>
    </w:p>
    <w:p w14:paraId="038A9594" w14:textId="77777777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Support for professional practice issues;</w:t>
      </w:r>
    </w:p>
    <w:p w14:paraId="0F2A72BA" w14:textId="69C22BF9" w:rsidR="00593312" w:rsidRPr="003659D7" w:rsidRDefault="00593312" w:rsidP="003659D7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Support and help with legal representation in the event of fitness to practice proceedings;</w:t>
      </w:r>
    </w:p>
    <w:p w14:paraId="7698F281" w14:textId="6520D0A4" w:rsidR="008C4233" w:rsidRDefault="008C4233" w:rsidP="008C4233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Nagalro practice guidance notes</w:t>
      </w:r>
      <w:r w:rsidR="005048D9">
        <w:rPr>
          <w:rFonts w:ascii="Arial" w:hAnsi="Arial" w:cs="Arial"/>
        </w:rPr>
        <w:t>.</w:t>
      </w:r>
    </w:p>
    <w:p w14:paraId="2592A209" w14:textId="77777777" w:rsidR="001F602D" w:rsidRDefault="001F602D" w:rsidP="001F602D">
      <w:pPr>
        <w:pStyle w:val="NoSpacing"/>
        <w:rPr>
          <w:rFonts w:ascii="Arial" w:hAnsi="Arial" w:cs="Arial"/>
        </w:rPr>
      </w:pPr>
    </w:p>
    <w:p w14:paraId="566A8137" w14:textId="017A5AFC" w:rsidR="005048D9" w:rsidRDefault="000A7F16" w:rsidP="001F60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9116D">
        <w:rPr>
          <w:rFonts w:ascii="Arial" w:hAnsi="Arial" w:cs="Arial"/>
        </w:rPr>
        <w:t xml:space="preserve"> </w:t>
      </w:r>
      <w:r w:rsidR="003659D7">
        <w:rPr>
          <w:rFonts w:ascii="Arial" w:hAnsi="Arial" w:cs="Arial"/>
        </w:rPr>
        <w:t>N</w:t>
      </w:r>
      <w:r w:rsidR="002164BE">
        <w:rPr>
          <w:rFonts w:ascii="Arial" w:hAnsi="Arial" w:cs="Arial"/>
        </w:rPr>
        <w:t>ot covered by insurance for any current work</w:t>
      </w:r>
      <w:r w:rsidR="00E76F77">
        <w:rPr>
          <w:rFonts w:ascii="Arial" w:hAnsi="Arial" w:cs="Arial"/>
        </w:rPr>
        <w:t xml:space="preserve">, but will still have run-off cover for </w:t>
      </w:r>
      <w:r w:rsidR="004F385F">
        <w:rPr>
          <w:rFonts w:ascii="Arial" w:hAnsi="Arial" w:cs="Arial"/>
        </w:rPr>
        <w:t xml:space="preserve">previous work </w:t>
      </w:r>
      <w:r w:rsidR="00A36E63">
        <w:rPr>
          <w:rFonts w:ascii="Arial" w:hAnsi="Arial" w:cs="Arial"/>
        </w:rPr>
        <w:t xml:space="preserve">carried out </w:t>
      </w:r>
      <w:r w:rsidR="004F385F">
        <w:rPr>
          <w:rFonts w:ascii="Arial" w:hAnsi="Arial" w:cs="Arial"/>
        </w:rPr>
        <w:t>whilst a full member (Group A)</w:t>
      </w:r>
      <w:r w:rsidR="00474D3C">
        <w:rPr>
          <w:rFonts w:ascii="Arial" w:hAnsi="Arial" w:cs="Arial"/>
        </w:rPr>
        <w:t xml:space="preserve">.  </w:t>
      </w:r>
    </w:p>
    <w:p w14:paraId="51416671" w14:textId="77777777" w:rsidR="0050119B" w:rsidRDefault="0050119B" w:rsidP="0050119B">
      <w:pPr>
        <w:pStyle w:val="NoSpacing"/>
        <w:rPr>
          <w:rFonts w:ascii="Arial" w:hAnsi="Arial" w:cs="Arial"/>
        </w:rPr>
      </w:pPr>
    </w:p>
    <w:p w14:paraId="085D83E7" w14:textId="77777777" w:rsidR="00136A92" w:rsidRDefault="00136A92" w:rsidP="008C4233">
      <w:pPr>
        <w:pStyle w:val="NoSpacing"/>
        <w:rPr>
          <w:rFonts w:ascii="Arial" w:hAnsi="Arial" w:cs="Arial"/>
          <w:b/>
          <w:bCs/>
        </w:rPr>
      </w:pPr>
    </w:p>
    <w:p w14:paraId="571E3883" w14:textId="5028116B" w:rsidR="008C4233" w:rsidRDefault="008C4233" w:rsidP="008C423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Associate Members – </w:t>
      </w:r>
      <w:r>
        <w:rPr>
          <w:rFonts w:ascii="Arial" w:hAnsi="Arial" w:cs="Arial"/>
        </w:rPr>
        <w:t>as defined by the Articles of Association</w:t>
      </w:r>
      <w:r w:rsidR="000A7F16">
        <w:rPr>
          <w:rFonts w:ascii="Arial" w:hAnsi="Arial" w:cs="Arial"/>
        </w:rPr>
        <w:t xml:space="preserve"> </w:t>
      </w:r>
      <w:r w:rsidR="00AE4A1B" w:rsidRPr="001A076B">
        <w:rPr>
          <w:rFonts w:ascii="Arial" w:hAnsi="Arial" w:cs="Arial"/>
          <w:b/>
          <w:bCs/>
          <w:color w:val="EE0000"/>
        </w:rPr>
        <w:t>£75</w:t>
      </w:r>
      <w:r w:rsidR="001A076B" w:rsidRPr="001A076B">
        <w:rPr>
          <w:rFonts w:ascii="Arial" w:hAnsi="Arial" w:cs="Arial"/>
          <w:b/>
          <w:bCs/>
          <w:color w:val="EE0000"/>
        </w:rPr>
        <w:t>.00</w:t>
      </w:r>
    </w:p>
    <w:p w14:paraId="2278AAAF" w14:textId="619C688F" w:rsidR="008C4233" w:rsidRPr="008C4233" w:rsidRDefault="008C4233" w:rsidP="008C4233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Benefits:</w:t>
      </w:r>
    </w:p>
    <w:p w14:paraId="0223778C" w14:textId="77777777" w:rsidR="00E44853" w:rsidRDefault="008C4233" w:rsidP="00E44853">
      <w:pPr>
        <w:pStyle w:val="NoSpacing"/>
        <w:numPr>
          <w:ilvl w:val="1"/>
          <w:numId w:val="5"/>
        </w:numPr>
        <w:rPr>
          <w:rFonts w:ascii="Arial" w:hAnsi="Arial" w:cs="Arial"/>
        </w:rPr>
      </w:pPr>
      <w:r w:rsidRPr="00E44853">
        <w:rPr>
          <w:rFonts w:ascii="Arial" w:hAnsi="Arial" w:cs="Arial"/>
        </w:rPr>
        <w:t>Preferential rates for professional training;</w:t>
      </w:r>
    </w:p>
    <w:p w14:paraId="7C7D2F9F" w14:textId="50059B4B" w:rsidR="008C4233" w:rsidRDefault="008C4233" w:rsidP="00E44853">
      <w:pPr>
        <w:pStyle w:val="NoSpacing"/>
        <w:numPr>
          <w:ilvl w:val="1"/>
          <w:numId w:val="5"/>
        </w:numPr>
        <w:rPr>
          <w:rFonts w:ascii="Arial" w:hAnsi="Arial" w:cs="Arial"/>
        </w:rPr>
      </w:pPr>
      <w:r w:rsidRPr="00E44853">
        <w:rPr>
          <w:rFonts w:ascii="Arial" w:hAnsi="Arial" w:cs="Arial"/>
        </w:rPr>
        <w:t xml:space="preserve">Quarterly copies of </w:t>
      </w:r>
      <w:r w:rsidRPr="00E44853">
        <w:rPr>
          <w:rFonts w:ascii="Arial" w:hAnsi="Arial" w:cs="Arial"/>
          <w:i/>
          <w:iCs/>
        </w:rPr>
        <w:t>Seen and Heard</w:t>
      </w:r>
      <w:r w:rsidRPr="00E44853">
        <w:rPr>
          <w:rFonts w:ascii="Arial" w:hAnsi="Arial" w:cs="Arial"/>
        </w:rPr>
        <w:t>;</w:t>
      </w:r>
    </w:p>
    <w:p w14:paraId="5977370F" w14:textId="77777777" w:rsidR="00050361" w:rsidRDefault="00050361" w:rsidP="00E44853">
      <w:pPr>
        <w:pStyle w:val="NoSpacing"/>
        <w:rPr>
          <w:rFonts w:ascii="Arial" w:hAnsi="Arial" w:cs="Arial"/>
          <w:b/>
          <w:bCs/>
          <w:i/>
          <w:iCs/>
        </w:rPr>
      </w:pPr>
    </w:p>
    <w:p w14:paraId="5ACCD6F3" w14:textId="5FE798AA" w:rsidR="00E44853" w:rsidRDefault="00E44853" w:rsidP="00E44853">
      <w:pPr>
        <w:pStyle w:val="NoSpacing"/>
        <w:rPr>
          <w:rFonts w:ascii="Arial" w:hAnsi="Arial" w:cs="Arial"/>
          <w:b/>
          <w:bCs/>
          <w:i/>
          <w:iCs/>
        </w:rPr>
      </w:pPr>
      <w:r w:rsidRPr="001A076B">
        <w:rPr>
          <w:rFonts w:ascii="Arial" w:hAnsi="Arial" w:cs="Arial"/>
          <w:b/>
          <w:bCs/>
        </w:rPr>
        <w:t>Seen and Heard Subscribers</w:t>
      </w:r>
      <w:r w:rsidR="001A076B">
        <w:rPr>
          <w:rFonts w:ascii="Arial" w:hAnsi="Arial" w:cs="Arial"/>
          <w:b/>
          <w:bCs/>
        </w:rPr>
        <w:t xml:space="preserve">: </w:t>
      </w:r>
      <w:r w:rsidR="00AE4A1B" w:rsidRPr="00AE4A1B">
        <w:rPr>
          <w:rFonts w:ascii="Arial" w:hAnsi="Arial" w:cs="Arial"/>
          <w:b/>
          <w:bCs/>
          <w:color w:val="EE0000"/>
        </w:rPr>
        <w:t>£</w:t>
      </w:r>
      <w:r w:rsidR="00845A56">
        <w:rPr>
          <w:rFonts w:ascii="Arial" w:hAnsi="Arial" w:cs="Arial"/>
          <w:b/>
          <w:bCs/>
          <w:color w:val="EE0000"/>
        </w:rPr>
        <w:t>45</w:t>
      </w:r>
      <w:r w:rsidR="001A076B">
        <w:rPr>
          <w:rFonts w:ascii="Arial" w:hAnsi="Arial" w:cs="Arial"/>
          <w:b/>
          <w:bCs/>
          <w:color w:val="EE0000"/>
        </w:rPr>
        <w:t>.00</w:t>
      </w:r>
    </w:p>
    <w:p w14:paraId="2520F909" w14:textId="79DF9AA5" w:rsidR="00E44853" w:rsidRDefault="00E44853" w:rsidP="00E4485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E44853">
        <w:rPr>
          <w:rFonts w:ascii="Arial" w:hAnsi="Arial" w:cs="Arial"/>
        </w:rPr>
        <w:t xml:space="preserve">Available to </w:t>
      </w:r>
      <w:r w:rsidR="000E088F">
        <w:rPr>
          <w:rFonts w:ascii="Arial" w:hAnsi="Arial" w:cs="Arial"/>
        </w:rPr>
        <w:t>everyone</w:t>
      </w:r>
      <w:r w:rsidR="00D12B4B">
        <w:rPr>
          <w:rFonts w:ascii="Arial" w:hAnsi="Arial" w:cs="Arial"/>
        </w:rPr>
        <w:t xml:space="preserve"> </w:t>
      </w:r>
    </w:p>
    <w:p w14:paraId="58BF1740" w14:textId="6BD41E46" w:rsidR="00136A92" w:rsidRPr="00E13F54" w:rsidRDefault="00D53DEC" w:rsidP="00136A9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44853" w:rsidRPr="00136A92">
        <w:rPr>
          <w:rFonts w:ascii="Arial" w:hAnsi="Arial" w:cs="Arial"/>
        </w:rPr>
        <w:t xml:space="preserve">eceive quarterly copies of </w:t>
      </w:r>
      <w:r w:rsidR="00E44853" w:rsidRPr="00136A92">
        <w:rPr>
          <w:rFonts w:ascii="Arial" w:hAnsi="Arial" w:cs="Arial"/>
          <w:i/>
          <w:iCs/>
        </w:rPr>
        <w:t>Seen and Heard.</w:t>
      </w:r>
    </w:p>
    <w:p w14:paraId="2E13357D" w14:textId="77777777" w:rsidR="00136A92" w:rsidRPr="00136A92" w:rsidRDefault="00136A92" w:rsidP="00136A92">
      <w:pPr>
        <w:pStyle w:val="NoSpacing"/>
        <w:rPr>
          <w:rFonts w:ascii="Arial" w:hAnsi="Arial" w:cs="Arial"/>
        </w:rPr>
      </w:pPr>
    </w:p>
    <w:p w14:paraId="67689703" w14:textId="2F8254E8" w:rsidR="00E44853" w:rsidRDefault="00E44853" w:rsidP="00E4485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Retired Members:</w:t>
      </w:r>
      <w:r w:rsidR="00AE4A1B">
        <w:rPr>
          <w:rFonts w:ascii="Arial" w:hAnsi="Arial" w:cs="Arial"/>
          <w:b/>
          <w:bCs/>
        </w:rPr>
        <w:t xml:space="preserve"> </w:t>
      </w:r>
      <w:r w:rsidR="00AE4A1B" w:rsidRPr="00AE4A1B">
        <w:rPr>
          <w:rFonts w:ascii="Arial" w:hAnsi="Arial" w:cs="Arial"/>
          <w:b/>
          <w:bCs/>
          <w:color w:val="EE0000"/>
        </w:rPr>
        <w:t>£45</w:t>
      </w:r>
      <w:r w:rsidR="006B38CD">
        <w:rPr>
          <w:rFonts w:ascii="Arial" w:hAnsi="Arial" w:cs="Arial"/>
          <w:b/>
          <w:bCs/>
          <w:color w:val="EE0000"/>
        </w:rPr>
        <w:t>.00</w:t>
      </w:r>
    </w:p>
    <w:p w14:paraId="77B5C4F6" w14:textId="555F51C9" w:rsidR="00E44853" w:rsidRPr="006B38CD" w:rsidRDefault="00E44853" w:rsidP="00E44853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Only available to </w:t>
      </w:r>
      <w:r>
        <w:rPr>
          <w:rFonts w:ascii="Arial" w:hAnsi="Arial" w:cs="Arial"/>
        </w:rPr>
        <w:t>former full members of Nagalro.</w:t>
      </w:r>
      <w:r w:rsidR="00136A92">
        <w:rPr>
          <w:rFonts w:ascii="Arial" w:hAnsi="Arial" w:cs="Arial"/>
        </w:rPr>
        <w:t xml:space="preserve"> Retired membership is </w:t>
      </w:r>
      <w:r w:rsidR="00136A92">
        <w:rPr>
          <w:rFonts w:ascii="Arial" w:hAnsi="Arial" w:cs="Arial"/>
          <w:b/>
          <w:bCs/>
          <w:i/>
          <w:iCs/>
        </w:rPr>
        <w:t xml:space="preserve">not </w:t>
      </w:r>
      <w:r w:rsidR="00136A92">
        <w:rPr>
          <w:rFonts w:ascii="Arial" w:hAnsi="Arial" w:cs="Arial"/>
        </w:rPr>
        <w:t>necessary to have run-off cover for potential claims arising from pre-retirement practice.</w:t>
      </w:r>
      <w:r w:rsidR="000A7F16">
        <w:rPr>
          <w:rFonts w:ascii="Arial" w:hAnsi="Arial" w:cs="Arial"/>
        </w:rPr>
        <w:t xml:space="preserve">  Some retired members will maintain their social work registration for a period and may be able to be more involved as a result?</w:t>
      </w:r>
    </w:p>
    <w:p w14:paraId="3B07D504" w14:textId="77777777" w:rsidR="006B38CD" w:rsidRPr="000A7F16" w:rsidRDefault="006B38CD" w:rsidP="006B38CD">
      <w:pPr>
        <w:pStyle w:val="NoSpacing"/>
        <w:ind w:left="720"/>
        <w:rPr>
          <w:rFonts w:ascii="Arial" w:hAnsi="Arial" w:cs="Arial"/>
          <w:b/>
          <w:bCs/>
        </w:rPr>
      </w:pPr>
    </w:p>
    <w:p w14:paraId="135430EB" w14:textId="77269322" w:rsidR="000A7F16" w:rsidRPr="00343CD2" w:rsidRDefault="000A7F16" w:rsidP="000A7F16">
      <w:pPr>
        <w:pStyle w:val="NoSpacing"/>
        <w:ind w:left="360"/>
        <w:rPr>
          <w:rFonts w:ascii="Arial" w:hAnsi="Arial" w:cs="Arial"/>
        </w:rPr>
      </w:pPr>
      <w:r w:rsidRPr="00343CD2">
        <w:rPr>
          <w:rFonts w:ascii="Arial" w:hAnsi="Arial" w:cs="Arial"/>
        </w:rPr>
        <w:t>N</w:t>
      </w:r>
      <w:r w:rsidR="00E921D5">
        <w:rPr>
          <w:rFonts w:ascii="Arial" w:hAnsi="Arial" w:cs="Arial"/>
        </w:rPr>
        <w:t>B</w:t>
      </w:r>
      <w:r w:rsidRPr="00343CD2">
        <w:rPr>
          <w:rFonts w:ascii="Arial" w:hAnsi="Arial" w:cs="Arial"/>
        </w:rPr>
        <w:t xml:space="preserve">:   Nagalro members have run-off insurance automatically and without keeping their membership running for a further six years after retirement. </w:t>
      </w:r>
    </w:p>
    <w:p w14:paraId="6C3D3A63" w14:textId="49842B38" w:rsidR="00E44853" w:rsidRPr="00E44853" w:rsidRDefault="00E44853" w:rsidP="00E44853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Benefits:</w:t>
      </w:r>
    </w:p>
    <w:p w14:paraId="36EF5CFA" w14:textId="77777777" w:rsidR="00E44853" w:rsidRDefault="00E44853" w:rsidP="00E44853">
      <w:pPr>
        <w:pStyle w:val="NoSpacing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Preferential rates for professional training;</w:t>
      </w:r>
    </w:p>
    <w:p w14:paraId="7D7543DC" w14:textId="6291A12B" w:rsidR="00E44853" w:rsidRDefault="00E44853" w:rsidP="00E44853">
      <w:pPr>
        <w:pStyle w:val="NoSpacing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Quarterly copies of </w:t>
      </w:r>
      <w:r>
        <w:rPr>
          <w:rFonts w:ascii="Arial" w:hAnsi="Arial" w:cs="Arial"/>
          <w:i/>
          <w:iCs/>
        </w:rPr>
        <w:t>Seen and Heard</w:t>
      </w:r>
      <w:r>
        <w:rPr>
          <w:rFonts w:ascii="Arial" w:hAnsi="Arial" w:cs="Arial"/>
        </w:rPr>
        <w:t>;</w:t>
      </w:r>
    </w:p>
    <w:p w14:paraId="65183539" w14:textId="6D51950E" w:rsidR="00633BCC" w:rsidRDefault="00633BCC" w:rsidP="00E44853">
      <w:pPr>
        <w:pStyle w:val="NoSpacing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43CD2">
        <w:rPr>
          <w:rFonts w:ascii="Arial" w:hAnsi="Arial" w:cs="Arial"/>
        </w:rPr>
        <w:t xml:space="preserve">agalro </w:t>
      </w:r>
      <w:r>
        <w:rPr>
          <w:rFonts w:ascii="Arial" w:hAnsi="Arial" w:cs="Arial"/>
        </w:rPr>
        <w:t>G</w:t>
      </w:r>
      <w:r w:rsidR="00343CD2">
        <w:rPr>
          <w:rFonts w:ascii="Arial" w:hAnsi="Arial" w:cs="Arial"/>
        </w:rPr>
        <w:t xml:space="preserve">oogle </w:t>
      </w:r>
      <w:r>
        <w:rPr>
          <w:rFonts w:ascii="Arial" w:hAnsi="Arial" w:cs="Arial"/>
        </w:rPr>
        <w:t>G</w:t>
      </w:r>
      <w:r w:rsidR="00343CD2">
        <w:rPr>
          <w:rFonts w:ascii="Arial" w:hAnsi="Arial" w:cs="Arial"/>
        </w:rPr>
        <w:t>roup</w:t>
      </w:r>
    </w:p>
    <w:p w14:paraId="558E2781" w14:textId="10E410B5" w:rsidR="00E44853" w:rsidRDefault="00E44853" w:rsidP="00E44853">
      <w:pPr>
        <w:pStyle w:val="NoSpacing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Support for professional practice issues arising from a member’s previous practice whilst a member of Nagalro</w:t>
      </w:r>
      <w:r w:rsidR="00393589">
        <w:rPr>
          <w:rFonts w:ascii="Arial" w:hAnsi="Arial" w:cs="Arial"/>
        </w:rPr>
        <w:t>.</w:t>
      </w:r>
    </w:p>
    <w:p w14:paraId="72F9B489" w14:textId="77777777" w:rsidR="00393589" w:rsidRDefault="00393589" w:rsidP="00393589">
      <w:pPr>
        <w:pStyle w:val="NoSpacing"/>
        <w:rPr>
          <w:rFonts w:ascii="Arial" w:hAnsi="Arial" w:cs="Arial"/>
        </w:rPr>
      </w:pPr>
    </w:p>
    <w:p w14:paraId="0B987AA3" w14:textId="77777777" w:rsidR="006D00B9" w:rsidRDefault="00393589" w:rsidP="006D00B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 Membership:</w:t>
      </w:r>
      <w:r w:rsidR="00AE4A1B">
        <w:rPr>
          <w:rFonts w:ascii="Arial" w:hAnsi="Arial" w:cs="Arial"/>
          <w:b/>
          <w:bCs/>
        </w:rPr>
        <w:t xml:space="preserve"> </w:t>
      </w:r>
      <w:r w:rsidR="001D5014" w:rsidRPr="006D00B9">
        <w:rPr>
          <w:rFonts w:ascii="Arial" w:hAnsi="Arial" w:cs="Arial"/>
          <w:b/>
          <w:bCs/>
          <w:color w:val="EE0000"/>
        </w:rPr>
        <w:t xml:space="preserve">£25.00 </w:t>
      </w:r>
      <w:r w:rsidR="001D5014">
        <w:rPr>
          <w:rFonts w:ascii="Arial" w:hAnsi="Arial" w:cs="Arial"/>
          <w:b/>
          <w:bCs/>
        </w:rPr>
        <w:t xml:space="preserve">(annual fee) or </w:t>
      </w:r>
      <w:r w:rsidR="001D5014" w:rsidRPr="006D00B9">
        <w:rPr>
          <w:rFonts w:ascii="Arial" w:hAnsi="Arial" w:cs="Arial"/>
          <w:b/>
          <w:bCs/>
          <w:color w:val="EE0000"/>
        </w:rPr>
        <w:t>£32.00</w:t>
      </w:r>
      <w:r w:rsidR="001D5014">
        <w:rPr>
          <w:rFonts w:ascii="Arial" w:hAnsi="Arial" w:cs="Arial"/>
          <w:b/>
          <w:bCs/>
        </w:rPr>
        <w:t xml:space="preserve"> x 4 quarterly payments </w:t>
      </w:r>
    </w:p>
    <w:p w14:paraId="058A0A88" w14:textId="16D52FD3" w:rsidR="00393589" w:rsidRPr="00393589" w:rsidRDefault="00393589" w:rsidP="006D00B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Available to </w:t>
      </w:r>
      <w:r>
        <w:rPr>
          <w:rFonts w:ascii="Arial" w:hAnsi="Arial" w:cs="Arial"/>
        </w:rPr>
        <w:t>any undergraduate or post-graduate student of a recognised UK or Irish university studying for a social work qualification.</w:t>
      </w:r>
    </w:p>
    <w:p w14:paraId="67CFA7F5" w14:textId="3F3CF6D9" w:rsidR="00393589" w:rsidRDefault="00393589" w:rsidP="00393589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Benefits:</w:t>
      </w:r>
    </w:p>
    <w:p w14:paraId="687E4AC0" w14:textId="548B8082" w:rsidR="00393589" w:rsidRPr="00393589" w:rsidRDefault="00393589" w:rsidP="00393589">
      <w:pPr>
        <w:pStyle w:val="NoSpacing"/>
        <w:numPr>
          <w:ilvl w:val="1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Reduced subscription rate;</w:t>
      </w:r>
    </w:p>
    <w:p w14:paraId="245C3D5B" w14:textId="4D288A2E" w:rsidR="00393589" w:rsidRPr="00393589" w:rsidRDefault="00393589" w:rsidP="00393589">
      <w:pPr>
        <w:pStyle w:val="NoSpacing"/>
        <w:numPr>
          <w:ilvl w:val="1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Quarterly copies of </w:t>
      </w:r>
      <w:r>
        <w:rPr>
          <w:rFonts w:ascii="Arial" w:hAnsi="Arial" w:cs="Arial"/>
          <w:i/>
          <w:iCs/>
        </w:rPr>
        <w:t>Seen and Heard</w:t>
      </w:r>
      <w:r>
        <w:rPr>
          <w:rFonts w:ascii="Arial" w:hAnsi="Arial" w:cs="Arial"/>
        </w:rPr>
        <w:t>;</w:t>
      </w:r>
    </w:p>
    <w:p w14:paraId="567AC6F0" w14:textId="4953F721" w:rsidR="00393589" w:rsidRPr="00393589" w:rsidRDefault="00393589" w:rsidP="00393589">
      <w:pPr>
        <w:pStyle w:val="NoSpacing"/>
        <w:numPr>
          <w:ilvl w:val="1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Preferential rates for conference attendance and training courses;</w:t>
      </w:r>
    </w:p>
    <w:p w14:paraId="63728A9D" w14:textId="4AAA3E9A" w:rsidR="00E13F54" w:rsidRPr="00E13F54" w:rsidRDefault="00393589" w:rsidP="00E13F54">
      <w:pPr>
        <w:pStyle w:val="NoSpacing"/>
        <w:numPr>
          <w:ilvl w:val="1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Eligibility to be invited to attend Nagalro Council meeting as an observer (non-voting).</w:t>
      </w:r>
    </w:p>
    <w:p w14:paraId="51874E62" w14:textId="22A341C3" w:rsidR="00AE4A1B" w:rsidRPr="006D00B9" w:rsidRDefault="00AE4A1B" w:rsidP="0039358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6D00B9">
        <w:rPr>
          <w:rFonts w:ascii="Arial" w:hAnsi="Arial" w:cs="Arial"/>
        </w:rPr>
        <w:t>Reduced fee at full membership</w:t>
      </w:r>
    </w:p>
    <w:p w14:paraId="7C242B07" w14:textId="77777777" w:rsidR="00AE4A1B" w:rsidRDefault="00AE4A1B" w:rsidP="00AE4A1B">
      <w:pPr>
        <w:pStyle w:val="NoSpacing"/>
        <w:rPr>
          <w:rFonts w:ascii="Arial" w:hAnsi="Arial" w:cs="Arial"/>
          <w:b/>
          <w:bCs/>
        </w:rPr>
      </w:pPr>
    </w:p>
    <w:p w14:paraId="22CB2286" w14:textId="77777777" w:rsidR="00314824" w:rsidRDefault="00314824" w:rsidP="00314824">
      <w:pPr>
        <w:pStyle w:val="NoSpacing"/>
        <w:rPr>
          <w:rFonts w:ascii="Arial" w:hAnsi="Arial" w:cs="Arial"/>
          <w:b/>
          <w:bCs/>
        </w:rPr>
      </w:pPr>
    </w:p>
    <w:p w14:paraId="5E152856" w14:textId="77777777" w:rsidR="00081CA5" w:rsidRDefault="00081CA5" w:rsidP="00081CA5">
      <w:pPr>
        <w:pStyle w:val="NoSpacing"/>
        <w:rPr>
          <w:rFonts w:ascii="Arial" w:hAnsi="Arial" w:cs="Arial"/>
        </w:rPr>
      </w:pPr>
      <w:r w:rsidRPr="0050119B">
        <w:rPr>
          <w:rFonts w:ascii="Arial" w:hAnsi="Arial" w:cs="Arial"/>
          <w:b/>
          <w:bCs/>
        </w:rPr>
        <w:t xml:space="preserve">Partnership member fees </w:t>
      </w:r>
      <w:r w:rsidRPr="006B0E5F">
        <w:rPr>
          <w:rFonts w:ascii="Arial" w:hAnsi="Arial" w:cs="Arial"/>
        </w:rPr>
        <w:t>(such as AoCPP)</w:t>
      </w:r>
      <w:r w:rsidRPr="0050119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 Nagalro will offer an attractive discounted rate for partnership agencies.  Also, a </w:t>
      </w:r>
      <w:r w:rsidRPr="00740B3A">
        <w:rPr>
          <w:rFonts w:ascii="Arial" w:hAnsi="Arial" w:cs="Arial"/>
        </w:rPr>
        <w:t>reduction for block bookings at conferences and training events..</w:t>
      </w:r>
    </w:p>
    <w:p w14:paraId="6CB962FA" w14:textId="77777777" w:rsidR="00081CA5" w:rsidRDefault="00081CA5" w:rsidP="00081CA5">
      <w:pPr>
        <w:pStyle w:val="NoSpacing"/>
        <w:rPr>
          <w:rFonts w:ascii="Arial" w:hAnsi="Arial" w:cs="Arial"/>
        </w:rPr>
      </w:pPr>
    </w:p>
    <w:p w14:paraId="1F16F4B4" w14:textId="77777777" w:rsidR="00081CA5" w:rsidRDefault="00081CA5" w:rsidP="00081CA5">
      <w:pPr>
        <w:pStyle w:val="NoSpacing"/>
        <w:rPr>
          <w:rFonts w:ascii="Arial" w:hAnsi="Arial" w:cs="Arial"/>
        </w:rPr>
      </w:pPr>
    </w:p>
    <w:p w14:paraId="273A92D9" w14:textId="5DF65074" w:rsidR="00DD4FB2" w:rsidRPr="00314824" w:rsidRDefault="00081CA5" w:rsidP="008472E2">
      <w:pPr>
        <w:pStyle w:val="NoSpacing"/>
        <w:rPr>
          <w:rFonts w:ascii="Arial" w:hAnsi="Arial" w:cs="Arial"/>
        </w:rPr>
      </w:pPr>
      <w:r w:rsidRPr="0050119B">
        <w:rPr>
          <w:rFonts w:ascii="Arial" w:hAnsi="Arial" w:cs="Arial"/>
          <w:b/>
          <w:bCs/>
        </w:rPr>
        <w:t xml:space="preserve">Block bookings for agencies who refer groups </w:t>
      </w:r>
      <w:r>
        <w:rPr>
          <w:rFonts w:ascii="Arial" w:hAnsi="Arial" w:cs="Arial"/>
          <w:b/>
          <w:bCs/>
        </w:rPr>
        <w:t>o</w:t>
      </w:r>
      <w:r w:rsidRPr="0050119B">
        <w:rPr>
          <w:rFonts w:ascii="Arial" w:hAnsi="Arial" w:cs="Arial"/>
          <w:b/>
          <w:bCs/>
        </w:rPr>
        <w:t>f people</w:t>
      </w:r>
      <w:r>
        <w:rPr>
          <w:rFonts w:ascii="Arial" w:hAnsi="Arial" w:cs="Arial"/>
          <w:b/>
          <w:bCs/>
        </w:rPr>
        <w:t xml:space="preserve"> =</w:t>
      </w:r>
      <w:r w:rsidRPr="0050119B">
        <w:rPr>
          <w:rFonts w:ascii="Arial" w:hAnsi="Arial" w:cs="Arial"/>
          <w:b/>
          <w:bCs/>
        </w:rPr>
        <w:t xml:space="preserve"> 10%</w:t>
      </w:r>
      <w:r>
        <w:rPr>
          <w:rFonts w:ascii="Arial" w:hAnsi="Arial" w:cs="Arial"/>
          <w:b/>
          <w:bCs/>
        </w:rPr>
        <w:t xml:space="preserve"> disc</w:t>
      </w:r>
      <w:r w:rsidR="008472E2">
        <w:rPr>
          <w:rFonts w:ascii="Arial" w:hAnsi="Arial" w:cs="Arial"/>
          <w:b/>
          <w:bCs/>
        </w:rPr>
        <w:t>ount</w:t>
      </w:r>
    </w:p>
    <w:sectPr w:rsidR="00DD4FB2" w:rsidRPr="00314824" w:rsidSect="008472E2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2AC"/>
    <w:multiLevelType w:val="hybridMultilevel"/>
    <w:tmpl w:val="3D60E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5EA"/>
    <w:multiLevelType w:val="hybridMultilevel"/>
    <w:tmpl w:val="5744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187D"/>
    <w:multiLevelType w:val="hybridMultilevel"/>
    <w:tmpl w:val="5AA0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0F3F"/>
    <w:multiLevelType w:val="hybridMultilevel"/>
    <w:tmpl w:val="4CD6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07F85"/>
    <w:multiLevelType w:val="hybridMultilevel"/>
    <w:tmpl w:val="41AA9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644CD"/>
    <w:multiLevelType w:val="hybridMultilevel"/>
    <w:tmpl w:val="7CCC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10CE0"/>
    <w:multiLevelType w:val="hybridMultilevel"/>
    <w:tmpl w:val="53707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601256">
    <w:abstractNumId w:val="4"/>
  </w:num>
  <w:num w:numId="2" w16cid:durableId="290720172">
    <w:abstractNumId w:val="2"/>
  </w:num>
  <w:num w:numId="3" w16cid:durableId="226378687">
    <w:abstractNumId w:val="3"/>
  </w:num>
  <w:num w:numId="4" w16cid:durableId="1811051677">
    <w:abstractNumId w:val="6"/>
  </w:num>
  <w:num w:numId="5" w16cid:durableId="1816799597">
    <w:abstractNumId w:val="5"/>
  </w:num>
  <w:num w:numId="6" w16cid:durableId="37819860">
    <w:abstractNumId w:val="1"/>
  </w:num>
  <w:num w:numId="7" w16cid:durableId="147228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0F"/>
    <w:rsid w:val="000318F0"/>
    <w:rsid w:val="00050361"/>
    <w:rsid w:val="000739AA"/>
    <w:rsid w:val="00081CA5"/>
    <w:rsid w:val="000938E7"/>
    <w:rsid w:val="000A0296"/>
    <w:rsid w:val="000A7F16"/>
    <w:rsid w:val="000E088F"/>
    <w:rsid w:val="000F74CF"/>
    <w:rsid w:val="00136A92"/>
    <w:rsid w:val="0014014C"/>
    <w:rsid w:val="00176A46"/>
    <w:rsid w:val="001A076B"/>
    <w:rsid w:val="001D5014"/>
    <w:rsid w:val="001F3323"/>
    <w:rsid w:val="001F602D"/>
    <w:rsid w:val="0021158D"/>
    <w:rsid w:val="002164BE"/>
    <w:rsid w:val="00223D74"/>
    <w:rsid w:val="0024215F"/>
    <w:rsid w:val="002551B6"/>
    <w:rsid w:val="002A2889"/>
    <w:rsid w:val="002A671F"/>
    <w:rsid w:val="002D48C4"/>
    <w:rsid w:val="002E4AF8"/>
    <w:rsid w:val="002F7968"/>
    <w:rsid w:val="00306423"/>
    <w:rsid w:val="00314824"/>
    <w:rsid w:val="00326E3A"/>
    <w:rsid w:val="00333ED1"/>
    <w:rsid w:val="00343CD2"/>
    <w:rsid w:val="003659D7"/>
    <w:rsid w:val="0039116D"/>
    <w:rsid w:val="00393589"/>
    <w:rsid w:val="003D164D"/>
    <w:rsid w:val="003E6E92"/>
    <w:rsid w:val="00444C99"/>
    <w:rsid w:val="00474D3C"/>
    <w:rsid w:val="004F1446"/>
    <w:rsid w:val="004F385F"/>
    <w:rsid w:val="0050119B"/>
    <w:rsid w:val="005048D9"/>
    <w:rsid w:val="0051503F"/>
    <w:rsid w:val="005447ED"/>
    <w:rsid w:val="00583CA3"/>
    <w:rsid w:val="00593312"/>
    <w:rsid w:val="005A6A17"/>
    <w:rsid w:val="00625CF3"/>
    <w:rsid w:val="00633BCC"/>
    <w:rsid w:val="00652653"/>
    <w:rsid w:val="00682E3F"/>
    <w:rsid w:val="006A434B"/>
    <w:rsid w:val="006B0E5F"/>
    <w:rsid w:val="006B38CD"/>
    <w:rsid w:val="006D00B9"/>
    <w:rsid w:val="006F3E2F"/>
    <w:rsid w:val="007144D5"/>
    <w:rsid w:val="00740B3A"/>
    <w:rsid w:val="00773ADA"/>
    <w:rsid w:val="007836C9"/>
    <w:rsid w:val="00792553"/>
    <w:rsid w:val="007A418B"/>
    <w:rsid w:val="00817F96"/>
    <w:rsid w:val="0083702E"/>
    <w:rsid w:val="00845A56"/>
    <w:rsid w:val="008472E2"/>
    <w:rsid w:val="00862FDE"/>
    <w:rsid w:val="0088320D"/>
    <w:rsid w:val="008C0DEF"/>
    <w:rsid w:val="008C2F8E"/>
    <w:rsid w:val="008C4233"/>
    <w:rsid w:val="00911E6B"/>
    <w:rsid w:val="00923F0F"/>
    <w:rsid w:val="0092761F"/>
    <w:rsid w:val="00932734"/>
    <w:rsid w:val="009E5C6C"/>
    <w:rsid w:val="009E602E"/>
    <w:rsid w:val="009F3B8F"/>
    <w:rsid w:val="00A112E5"/>
    <w:rsid w:val="00A36E63"/>
    <w:rsid w:val="00A41A15"/>
    <w:rsid w:val="00A84885"/>
    <w:rsid w:val="00A85048"/>
    <w:rsid w:val="00AE4A1B"/>
    <w:rsid w:val="00BB7A6B"/>
    <w:rsid w:val="00BC2008"/>
    <w:rsid w:val="00BD2CA6"/>
    <w:rsid w:val="00C14622"/>
    <w:rsid w:val="00C4257F"/>
    <w:rsid w:val="00C42A77"/>
    <w:rsid w:val="00C608A9"/>
    <w:rsid w:val="00D12B4B"/>
    <w:rsid w:val="00D33BE5"/>
    <w:rsid w:val="00D414DF"/>
    <w:rsid w:val="00D42A86"/>
    <w:rsid w:val="00D53DEC"/>
    <w:rsid w:val="00DB43A0"/>
    <w:rsid w:val="00DB69EC"/>
    <w:rsid w:val="00DC54EA"/>
    <w:rsid w:val="00DD4FB2"/>
    <w:rsid w:val="00E13F54"/>
    <w:rsid w:val="00E26A69"/>
    <w:rsid w:val="00E44853"/>
    <w:rsid w:val="00E76F77"/>
    <w:rsid w:val="00E921D5"/>
    <w:rsid w:val="00EB1A3A"/>
    <w:rsid w:val="00F02B0B"/>
    <w:rsid w:val="00F0355E"/>
    <w:rsid w:val="00F545C6"/>
    <w:rsid w:val="00F64AE9"/>
    <w:rsid w:val="00F671BA"/>
    <w:rsid w:val="00F813F2"/>
    <w:rsid w:val="00F8747F"/>
    <w:rsid w:val="00FC077D"/>
    <w:rsid w:val="00FC14BD"/>
    <w:rsid w:val="00FC3AE7"/>
    <w:rsid w:val="00FC42EB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A276C"/>
  <w15:chartTrackingRefBased/>
  <w15:docId w15:val="{90A9E71F-21D1-4DCB-95B4-E68DD62E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3F0F"/>
    <w:pPr>
      <w:spacing w:after="0" w:line="240" w:lineRule="auto"/>
    </w:pPr>
  </w:style>
  <w:style w:type="table" w:styleId="TableGrid">
    <w:name w:val="Table Grid"/>
    <w:basedOn w:val="TableNormal"/>
    <w:uiPriority w:val="39"/>
    <w:rsid w:val="0071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1C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1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C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1AC7-18F4-4F97-BA61-A845A4F5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572</Words>
  <Characters>3129</Characters>
  <Application>Microsoft Office Word</Application>
  <DocSecurity>0</DocSecurity>
  <Lines>260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Noon</dc:creator>
  <cp:keywords/>
  <dc:description/>
  <cp:lastModifiedBy>Nagalro Administrator</cp:lastModifiedBy>
  <cp:revision>29</cp:revision>
  <dcterms:created xsi:type="dcterms:W3CDTF">2026-01-15T14:48:00Z</dcterms:created>
  <dcterms:modified xsi:type="dcterms:W3CDTF">2026-01-22T15:21:00Z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24858436-9c53-448e-b0ff-61fc40b82a12</vt:lpwstr>
  </property>
</Properties>
</file>